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A75CB" w14:textId="77777777" w:rsidR="00C44A95" w:rsidRDefault="000000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A4D0A83" w14:textId="77777777" w:rsidR="00C44A95" w:rsidRDefault="00000000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8"/>
        <w:gridCol w:w="3395"/>
        <w:gridCol w:w="1259"/>
        <w:gridCol w:w="1116"/>
      </w:tblGrid>
      <w:tr w:rsidR="00C44A95" w14:paraId="1874AF52" w14:textId="77777777">
        <w:trPr>
          <w:trHeight w:val="27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93435" w14:textId="77777777" w:rsidR="00C44A95" w:rsidRDefault="00000000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(в ред. от 31 декабря 2015 г.)</w:t>
            </w:r>
          </w:p>
        </w:tc>
      </w:tr>
      <w:tr w:rsidR="00C44A95" w14:paraId="4CEC6F66" w14:textId="77777777">
        <w:trPr>
          <w:trHeight w:val="2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69D01" w14:textId="77777777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ПОЯСНИТЕЛЬНАЯ ЗАПИСКА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1FC64" w14:textId="77777777" w:rsidR="00C44A95" w:rsidRDefault="00000000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C57AD" w14:textId="77777777" w:rsidR="00C44A95" w:rsidRDefault="00000000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C44A95" w14:paraId="5A307451" w14:textId="77777777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A7718" w14:textId="77777777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                        к отчету об исполнении бюджета                 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7A1CB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6CCEC" w14:textId="77777777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КОДЫ</w:t>
            </w:r>
          </w:p>
        </w:tc>
      </w:tr>
      <w:tr w:rsidR="00C44A95" w14:paraId="07D852F7" w14:textId="77777777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B2790" w14:textId="77777777" w:rsidR="00C44A95" w:rsidRDefault="00000000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97483" w14:textId="77777777" w:rsidR="00C44A95" w:rsidRDefault="00000000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79E15" w14:textId="77777777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0503360</w:t>
            </w:r>
          </w:p>
        </w:tc>
      </w:tr>
      <w:tr w:rsidR="00C44A95" w14:paraId="5EA2A186" w14:textId="77777777">
        <w:trPr>
          <w:trHeight w:val="2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37E36" w14:textId="73540CD9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                         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   1</w:t>
            </w:r>
            <w:r w:rsidR="00F954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июля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2025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DA519" w14:textId="77777777" w:rsidR="00C44A95" w:rsidRDefault="00000000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394DD" w14:textId="4A4E86AB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</w:t>
            </w:r>
            <w:r w:rsidR="00F954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.2025</w:t>
            </w:r>
          </w:p>
        </w:tc>
      </w:tr>
      <w:tr w:rsidR="00C44A95" w14:paraId="4DE0B03E" w14:textId="77777777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B7736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90AD0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4A95" w14:paraId="316AF08A" w14:textId="77777777">
        <w:trPr>
          <w:trHeight w:val="19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61CD4" w14:textId="77777777" w:rsidR="00C44A95" w:rsidRDefault="00000000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CD6D9" w14:textId="77777777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72622279</w:t>
            </w:r>
          </w:p>
        </w:tc>
      </w:tr>
      <w:tr w:rsidR="00C44A95" w14:paraId="5CC066C8" w14:textId="77777777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AB054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финансового органа Дондуковское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B6A52" w14:textId="77777777" w:rsidR="00C44A95" w:rsidRDefault="00000000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AA388" w14:textId="77777777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</w:t>
            </w:r>
          </w:p>
        </w:tc>
      </w:tr>
      <w:tr w:rsidR="00C44A95" w14:paraId="702000A4" w14:textId="77777777">
        <w:trPr>
          <w:trHeight w:val="2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3E058" w14:textId="77777777" w:rsidR="00C44A95" w:rsidRDefault="00000000">
            <w:pPr>
              <w:rPr>
                <w:color w:val="000000"/>
              </w:rPr>
            </w:pPr>
            <w:r>
              <w:rPr>
                <w:rFonts w:ascii="Courier New" w:eastAsia="Courier New" w:hAnsi="Courier New" w:cs="Courier New"/>
                <w:b/>
                <w:color w:val="000000"/>
                <w:sz w:val="16"/>
                <w:szCs w:val="16"/>
              </w:rPr>
              <w:t>  </w:t>
            </w:r>
          </w:p>
          <w:p w14:paraId="4D327A11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бюджета Бюджет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1BFCF" w14:textId="77777777" w:rsidR="00C44A95" w:rsidRDefault="00000000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835AD" w14:textId="77777777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79605410</w:t>
            </w:r>
          </w:p>
        </w:tc>
      </w:tr>
      <w:tr w:rsidR="00C44A95" w14:paraId="6CD96EFA" w14:textId="77777777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588C5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Периодичность: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A457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4A95" w14:paraId="5577E9D5" w14:textId="77777777">
        <w:trPr>
          <w:trHeight w:val="2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350B3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BC1D1" w14:textId="77777777" w:rsidR="00C44A95" w:rsidRDefault="00000000">
            <w:pPr>
              <w:spacing w:beforeAutospacing="1" w:afterAutospacing="1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719DC" w14:textId="77777777" w:rsidR="00C44A95" w:rsidRDefault="00000000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383</w:t>
            </w:r>
          </w:p>
        </w:tc>
      </w:tr>
      <w:tr w:rsidR="00C44A95" w14:paraId="5B4B567A" w14:textId="77777777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27335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AA880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BEEDE0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B866C5" w14:textId="77777777" w:rsidR="00C44A95" w:rsidRDefault="00000000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C44A95" w14:paraId="0C40A8FE" w14:textId="77777777">
        <w:trPr>
          <w:trHeight w:val="28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16806" w14:textId="77777777" w:rsidR="00C44A95" w:rsidRDefault="0000000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279FC0A9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14:paraId="36AEE990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</w:t>
      </w:r>
    </w:p>
    <w:p w14:paraId="6F430ECE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Организационная структура Муниципального образования «Дондуковское сельское поселение»</w:t>
      </w:r>
    </w:p>
    <w:p w14:paraId="7A9BD856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14:paraId="47C763D6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Муниципальное образование "Дондуковское сельское поселение" с административным центром в станице Дондуковской имеет в своем составе:</w:t>
      </w:r>
    </w:p>
    <w:p w14:paraId="474DE7AD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хутор Нечаевский</w:t>
      </w:r>
    </w:p>
    <w:p w14:paraId="12BDB702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хутор См.Малиновский</w:t>
      </w:r>
    </w:p>
    <w:p w14:paraId="1322956E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хутор Вольно-Веселый</w:t>
      </w:r>
    </w:p>
    <w:p w14:paraId="30CB5E4D" w14:textId="1CA475EE" w:rsidR="00C44A95" w:rsidRDefault="00000000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Полное официальное наименование муниципального образования - муниципальное образование «Дондуковское сельское поселение Гиагинского </w:t>
      </w:r>
      <w:r w:rsidR="00961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Республики Адыгея».</w:t>
      </w:r>
    </w:p>
    <w:p w14:paraId="04ED7270" w14:textId="77777777" w:rsidR="00C44A95" w:rsidRDefault="00000000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Сокращенное официальное наименование муниципального образования - муниципальное образование «Дондуковское сельское поселение».</w:t>
      </w:r>
    </w:p>
    <w:p w14:paraId="244BEA96" w14:textId="77777777" w:rsidR="00C44A95" w:rsidRDefault="00000000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вопросы организации деятельности учреждений регулируются Уставом муниципального образования «Дондуковское сельское поселение»,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 Совета народных депутатов муниципального образования «Дондуковское сельское поселение» от 30 марта 2018 года № 77 «Об утверждении Положения о бюджетном процессе в муниципальном образовании «Дондуковское сельское поселение» (в новой редакции)».</w:t>
      </w:r>
    </w:p>
    <w:p w14:paraId="0F73434D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14:paraId="53E9AD66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II</w:t>
      </w:r>
    </w:p>
    <w:p w14:paraId="46AE0662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Результаты деятельности организации.</w:t>
      </w:r>
    </w:p>
    <w:p w14:paraId="1D37BFC3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14:paraId="7EC44D5D" w14:textId="669D9A03" w:rsidR="00C44A95" w:rsidRDefault="00000000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муниципального образования «Дондуковское сельское поселение» на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был утвержден  Решением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Совета народных депутатов муниципального образования «Дондуковское сельское поселение» № </w:t>
      </w:r>
      <w:r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F20222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46</w:t>
      </w:r>
      <w:r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2</w:t>
      </w:r>
      <w:r w:rsidR="00F20222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.12.202</w:t>
      </w:r>
      <w:r w:rsidR="00F20222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 в соответствии с требованиями федерального, регионального бюджетного законодательства, нормативно-правовых актов муниципального образования «Дондуковское сельское поселение » исходя из приоритетов, определенных в основных направлениях бюджетной политики и налоговой политики муниципального образования «Дондуковское сельское поселение», с учетом необходимости обеспечения устойчивости бюджета муниципального образования «Дондуковское сельское поселение», а также применения механизма ограничения роста и оптимизации расходов бюджета муниципального образования «Дондуковское сельское поселение».</w:t>
      </w:r>
    </w:p>
    <w:p w14:paraId="4BD8EB76" w14:textId="019BD7A7" w:rsidR="00C44A95" w:rsidRDefault="00000000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нормами бюджетного законодательства в условиях стабилизации и роста прогнозируемости экономической ситуации бюджетные показатели бюджета муниципального образования «Дондуковское сельское поселение» сформированы на трехлетний период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годов.</w:t>
      </w:r>
    </w:p>
    <w:p w14:paraId="5BCDDF50" w14:textId="748945A2" w:rsidR="00C44A95" w:rsidRDefault="00000000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бюджета муниципального образования «Дондуковское сельское поселение» происходило в условиях ограниченности бюджетных ресурсов для решения приоритетных задач муниципального образования «Дондуковское сельское поселение». Поэтому ключевыми задачами бюджетной политики на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было обеспечение сбалансированности бюджетной системы бюджета муниципального образования «Дондуковское сельское поселение» и безусловное исполнение принятых обязательств наиболее эффективным способом.</w:t>
      </w:r>
    </w:p>
    <w:p w14:paraId="03FCEAEA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муниципального образования «Дондуковское сельское поселение» сформирован в программном формате на основе утвержденных </w:t>
      </w:r>
      <w:r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программ муниципального образования «Дондуковское сельское поселение», охватывающих основные сферы деятельности органов местного самоуправления муниципального образования «Дондуковское сельское поселение». Планирование расходной части проводилось адекватно прогнозным темпам роста налоговых и неналоговых доходов в условиях жесткой экономии финансовых ресурсов.</w:t>
      </w:r>
    </w:p>
    <w:p w14:paraId="18CCC73C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и в прошлом году, часть целевых доходных источников была направлена на формирование расходной части бюджета Дорожного фонда муниципального образования «Дондуковское сельское поселение».</w:t>
      </w:r>
    </w:p>
    <w:p w14:paraId="0304136E" w14:textId="1F38C553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было проведено </w:t>
      </w:r>
      <w:r w:rsidR="00F954E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внесени</w:t>
      </w:r>
      <w:r w:rsidR="00F954E9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изменений в бюджет муниципального образования «Дондуковское сельское поселение»:</w:t>
      </w:r>
    </w:p>
    <w:p w14:paraId="4E6A1324" w14:textId="00248219" w:rsidR="00C44A95" w:rsidRDefault="00000000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Решение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народных депутатов муниципального 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Дондуковское сельское поселение» </w:t>
      </w:r>
      <w:r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27 </w:t>
      </w:r>
      <w:r w:rsidR="00F20222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марта </w:t>
      </w:r>
      <w:r w:rsidR="003648E3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F20222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3648E3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48E3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F20222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57</w:t>
      </w:r>
      <w:r w:rsidR="003648E3" w:rsidRPr="00F202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внесении 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изменений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 муниципального образования «Дондуковское сельское поселение» на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3648E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годов»;</w:t>
      </w:r>
    </w:p>
    <w:p w14:paraId="74C3A855" w14:textId="26AB06A3" w:rsidR="00C44A95" w:rsidRPr="003021FF" w:rsidRDefault="00000000">
      <w:pPr>
        <w:ind w:firstLine="700"/>
        <w:jc w:val="both"/>
        <w:rPr>
          <w:color w:val="000000"/>
          <w:sz w:val="28"/>
          <w:szCs w:val="28"/>
        </w:rPr>
      </w:pPr>
      <w:r w:rsidRPr="003021F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021FF" w:rsidRPr="003021FF">
        <w:rPr>
          <w:rFonts w:ascii="Times New Roman" w:eastAsia="Times New Roman" w:hAnsi="Times New Roman" w:cs="Times New Roman"/>
          <w:color w:val="000000"/>
          <w:sz w:val="28"/>
          <w:szCs w:val="28"/>
        </w:rPr>
        <w:t>- Решение Совета народных депутатов муниципального образования «Дондуковское сельское поселение» от 2</w:t>
      </w:r>
      <w:r w:rsidR="00EB2DE0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3021FF" w:rsidRPr="00302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2DE0">
        <w:rPr>
          <w:rFonts w:ascii="Times New Roman" w:eastAsia="Times New Roman" w:hAnsi="Times New Roman" w:cs="Times New Roman"/>
          <w:color w:val="000000"/>
          <w:sz w:val="28"/>
          <w:szCs w:val="28"/>
        </w:rPr>
        <w:t>июня</w:t>
      </w:r>
      <w:r w:rsidR="003021FF" w:rsidRPr="00302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2025 года № 1</w:t>
      </w:r>
      <w:r w:rsidR="00EB2DE0">
        <w:rPr>
          <w:rFonts w:ascii="Times New Roman" w:eastAsia="Times New Roman" w:hAnsi="Times New Roman" w:cs="Times New Roman"/>
          <w:color w:val="000000"/>
          <w:sz w:val="28"/>
          <w:szCs w:val="28"/>
        </w:rPr>
        <w:t>62</w:t>
      </w:r>
      <w:r w:rsidR="003021FF" w:rsidRPr="00302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внесении изменений в бюджет муниципального образования «Дондуковское сельское поселение» на 2025 год и плановый период 2026 и 2027 годов»;</w:t>
      </w:r>
    </w:p>
    <w:p w14:paraId="111DA936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14:paraId="39F1387C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III</w:t>
      </w:r>
    </w:p>
    <w:p w14:paraId="7610CBE7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Анализ отчета об исполнении бюджета</w:t>
      </w:r>
    </w:p>
    <w:p w14:paraId="7D6B5B78" w14:textId="77777777" w:rsidR="00C44A95" w:rsidRDefault="00000000">
      <w:pPr>
        <w:jc w:val="center"/>
        <w:rPr>
          <w:color w:val="000000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14:paraId="319FAC56" w14:textId="77777777" w:rsidR="00EB2DE0" w:rsidRPr="00EB2DE0" w:rsidRDefault="00000000" w:rsidP="00EB2DE0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>
        <w:rPr>
          <w:rFonts w:ascii="Calibri" w:eastAsia="Calibri" w:hAnsi="Calibri" w:cs="Calibri"/>
          <w:b/>
          <w:i/>
          <w:color w:val="000000"/>
          <w:sz w:val="28"/>
          <w:szCs w:val="28"/>
        </w:rPr>
        <w:t> </w:t>
      </w:r>
      <w:r w:rsidR="00EB2DE0" w:rsidRPr="00EB2DE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ДОХОДЫ</w:t>
      </w:r>
    </w:p>
    <w:p w14:paraId="55A31D22" w14:textId="77777777" w:rsidR="00EB2DE0" w:rsidRPr="00EB2DE0" w:rsidRDefault="00EB2DE0" w:rsidP="00EB2DE0">
      <w:pPr>
        <w:suppressAutoHyphens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14:paraId="6DA17C89" w14:textId="77777777" w:rsidR="00EB2DE0" w:rsidRPr="00EB2DE0" w:rsidRDefault="00EB2DE0" w:rsidP="00EB2DE0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За 6 месяцев 2025 года в бюджет муниципального образования «Дондуковское сельское поселение» поступило налоговых и других обязательных платежей 17 064,5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тысяч рублей, что составило 21,1 процент выполнения от годового плана, в том числе поступило: </w:t>
      </w:r>
    </w:p>
    <w:p w14:paraId="67339625" w14:textId="77777777" w:rsidR="00EB2DE0" w:rsidRPr="00EB2DE0" w:rsidRDefault="00EB2DE0" w:rsidP="00EB2DE0">
      <w:pPr>
        <w:numPr>
          <w:ilvl w:val="0"/>
          <w:numId w:val="6"/>
        </w:numPr>
        <w:suppressAutoHyphens/>
        <w:ind w:hanging="86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Налоговых и неналоговых доходов 12 673,7</w:t>
      </w:r>
      <w:r w:rsidRPr="00EB2DE0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тысяч рублей;</w:t>
      </w:r>
    </w:p>
    <w:p w14:paraId="4113E561" w14:textId="77777777" w:rsidR="00EB2DE0" w:rsidRPr="00EB2DE0" w:rsidRDefault="00EB2DE0" w:rsidP="00EB2DE0">
      <w:pPr>
        <w:suppressAutoHyphens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Динамика поступлений налоговых и неналоговых доходов в бюджет муниципального образования «Дондуковское сельское поселение».</w:t>
      </w:r>
    </w:p>
    <w:p w14:paraId="33538F35" w14:textId="77777777" w:rsidR="00EB2DE0" w:rsidRPr="00EB2DE0" w:rsidRDefault="00EB2DE0" w:rsidP="00EB2DE0">
      <w:pPr>
        <w:suppressAutoHyphens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 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сравнении с предыдущим отчетным периодом 2024 года налоговых и неналоговых доходов 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4 423,7 тысяч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поступило больше</w:t>
      </w:r>
      <w:r w:rsidRPr="00EB2DE0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.</w:t>
      </w:r>
      <w:r w:rsidRPr="00EB2DE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</w:p>
    <w:p w14:paraId="27A9BD58" w14:textId="77777777" w:rsidR="00EB2DE0" w:rsidRPr="00EB2DE0" w:rsidRDefault="00EB2DE0" w:rsidP="00EB2DE0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Наиболее значимыми доходами бюджета муниципального образования «Дондуковское сельское поселение» и бюджетов поселений являются:</w:t>
      </w:r>
    </w:p>
    <w:p w14:paraId="35D1B1AF" w14:textId="77777777" w:rsidR="00EB2DE0" w:rsidRPr="00EB2DE0" w:rsidRDefault="00EB2DE0" w:rsidP="00EB2DE0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876"/>
        <w:gridCol w:w="730"/>
        <w:gridCol w:w="917"/>
        <w:gridCol w:w="851"/>
        <w:gridCol w:w="975"/>
        <w:gridCol w:w="733"/>
        <w:gridCol w:w="636"/>
        <w:gridCol w:w="733"/>
        <w:gridCol w:w="759"/>
        <w:gridCol w:w="733"/>
      </w:tblGrid>
      <w:tr w:rsidR="00EB2DE0" w:rsidRPr="00EB2DE0" w14:paraId="1A1BBE9B" w14:textId="77777777" w:rsidTr="00F573E1"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62D0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Поступило доходов в 2025 г. в бюджет муниципального образования «Дондуковское сельское поселение» (т.р.)</w:t>
            </w:r>
          </w:p>
        </w:tc>
        <w:tc>
          <w:tcPr>
            <w:tcW w:w="7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900A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В разрезе налогов</w:t>
            </w:r>
          </w:p>
        </w:tc>
      </w:tr>
      <w:tr w:rsidR="00EB2DE0" w:rsidRPr="00EB2DE0" w14:paraId="428C518A" w14:textId="77777777" w:rsidTr="00F573E1"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F429" w14:textId="77777777" w:rsidR="00EB2DE0" w:rsidRPr="00EB2DE0" w:rsidRDefault="00EB2DE0" w:rsidP="00EB2DE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970C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НДФЛ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96C24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Налоги на совокупный доход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978B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Налог на имущество физических лиц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069B8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Госпошлина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4707D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Доходы поступающие в порядке возмещения расходов</w:t>
            </w:r>
          </w:p>
        </w:tc>
      </w:tr>
      <w:tr w:rsidR="00EB2DE0" w:rsidRPr="00EB2DE0" w14:paraId="24243CE5" w14:textId="77777777" w:rsidTr="00F573E1">
        <w:trPr>
          <w:trHeight w:val="378"/>
        </w:trPr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0FBB8" w14:textId="77777777" w:rsidR="00EB2DE0" w:rsidRPr="00EB2DE0" w:rsidRDefault="00EB2DE0" w:rsidP="00EB2DE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7A7E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т.р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F38A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у/вес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BEB6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3432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у/вес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211B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DD277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у/вес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E7EA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B6D3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у/вес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2AD0B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т.р.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6A84" w14:textId="77777777" w:rsidR="00EB2DE0" w:rsidRPr="00EB2DE0" w:rsidRDefault="00EB2DE0" w:rsidP="00EB2D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у/вес</w:t>
            </w:r>
          </w:p>
        </w:tc>
      </w:tr>
      <w:tr w:rsidR="00EB2DE0" w:rsidRPr="00EB2DE0" w14:paraId="7DF8E1DC" w14:textId="77777777" w:rsidTr="00F573E1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E919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12 673,7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B17A2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3580,2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67A7F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090B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B998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223,2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EACF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136,9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0B4D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C4571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0C9EE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F8D0D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631,7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DA2D" w14:textId="77777777" w:rsidR="00EB2DE0" w:rsidRPr="00EB2DE0" w:rsidRDefault="00EB2DE0" w:rsidP="00EB2DE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2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79,0</w:t>
            </w:r>
          </w:p>
        </w:tc>
      </w:tr>
    </w:tbl>
    <w:p w14:paraId="4FFDBC51" w14:textId="77777777" w:rsidR="00EB2DE0" w:rsidRPr="00EB2DE0" w:rsidRDefault="00EB2DE0" w:rsidP="00EB2DE0">
      <w:pPr>
        <w:suppressAutoHyphens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14:paraId="542E51F5" w14:textId="77777777" w:rsidR="00EB2DE0" w:rsidRPr="00EB2DE0" w:rsidRDefault="00EB2DE0" w:rsidP="00EB2DE0">
      <w:pPr>
        <w:suppressAutoHyphens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Исполнение в разрезе налогов и сборов сложилось следующее</w:t>
      </w:r>
    </w:p>
    <w:p w14:paraId="100AF860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НДФЛ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 за отчетный период от годового назначения 2025 года 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составило 49,7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процентов. В сравнении с аналогичным периодом 2024 поступило 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больше на 1139,0 тысяч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 При утвержденных плановых назначениях на 2025 г. 7 201,0 тысяч рублей, поступления составили 3 580,2 тысячи рублей или 49,7 процентов исполнения. </w:t>
      </w: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Причины: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Высокий темп обусловлен в результате:</w:t>
      </w:r>
    </w:p>
    <w:p w14:paraId="0FE74296" w14:textId="77777777" w:rsidR="00EB2DE0" w:rsidRPr="00EB2DE0" w:rsidRDefault="00EB2DE0" w:rsidP="00EB2DE0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- роста МРОТ на 16,6 процентных пункта или на 3 198 руб. (в 2024 г. МРОТ составлял 19 242 руб., в 2025 г. – 22 440 руб.) в соответствии новой редакции ст. 1 Федерального закона от 19.06.2000 N 82-ФЗ "О минимальном размере оплаты труда",</w:t>
      </w:r>
    </w:p>
    <w:p w14:paraId="35F22173" w14:textId="77777777" w:rsidR="00EB2DE0" w:rsidRPr="00EB2DE0" w:rsidRDefault="00EB2DE0" w:rsidP="00EB2DE0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повышения окладов работникам государственных учреждений с 01.08.2024г. в соответствии с постановлением Кабинета Министров Республики Адыгея,</w:t>
      </w:r>
    </w:p>
    <w:p w14:paraId="24FA1205" w14:textId="77777777" w:rsidR="00EB2DE0" w:rsidRPr="00EB2DE0" w:rsidRDefault="00EB2DE0" w:rsidP="00EB2DE0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- индексацией заработных плат с 01.10.2024 г. на 5,1% работников бюджетных организаций и сотрудников силовых ведомств,</w:t>
      </w:r>
    </w:p>
    <w:p w14:paraId="28920A1B" w14:textId="77777777" w:rsidR="00EB2DE0" w:rsidRPr="00EB2DE0" w:rsidRDefault="00EB2DE0" w:rsidP="00EB2DE0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- индексацией заработных плат с 01.01.2025 г. работников бюджетных организаций на 13,2%, федеральных государственных гражданских служащих на 4-4,5%,</w:t>
      </w:r>
    </w:p>
    <w:p w14:paraId="059A81CF" w14:textId="77777777" w:rsidR="00EB2DE0" w:rsidRPr="00EB2DE0" w:rsidRDefault="00EB2DE0" w:rsidP="00EB2DE0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роста выплаты дивидендов в 2025г., в т.ч. ООО «АМД-Агро».</w:t>
      </w:r>
    </w:p>
    <w:p w14:paraId="13728711" w14:textId="77777777" w:rsidR="00EB2DE0" w:rsidRPr="00EB2DE0" w:rsidRDefault="00EB2DE0" w:rsidP="00EB2DE0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Земельному налогу с физических лиц поступило 178 тыс. руб., что на</w:t>
      </w:r>
    </w:p>
    <w:p w14:paraId="2BB458BD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Налоги на товары (работы, услуги), реализуемые на Территории Российской Федерации, </w:t>
      </w:r>
      <w:r w:rsidRPr="00EB2D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Акцизы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прогнозные показатели исполнены на 39,1 процент, при плане 4225,7 тысяч рублей, поступления составили 1653,6 тысяч рублей, зачисление в местный бюджет осуществляется по факту поступления доходов от указанного вида налогов в бюджет субъекта РФ;</w:t>
      </w:r>
    </w:p>
    <w:p w14:paraId="40BD2207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ЕСХН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 за отчетный период от годового назначения 2025 года составило 223,2 процента. В сравнении с аналогичным периодом 2024 г. рост 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составил 303,2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процента. При утвержденных плановых назначениях на 2025 г. 1734,1 тысяч рублей, поступления составили 3871,1 тысяч рублей. </w:t>
      </w:r>
      <w:r w:rsidRPr="00EB2D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Причины:</w:t>
      </w:r>
      <w:r w:rsidRPr="00EB2D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Поступления</w:t>
      </w:r>
      <w:r w:rsidRPr="00EB2D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выше аналогичного периода прошлого года, в связи с ростом платежей по годовым налоговым декларациям, под влиянием роста налоговой базы, в т.ч. АО "Дондуковский Элеватор", Игнатова О.В.</w:t>
      </w:r>
    </w:p>
    <w:p w14:paraId="32CF3871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налогу на имущество физических лиц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 за отчетный период от годового назначения 2025 года составило 4,4 процента. В сравнении с аналогичным периодом 2024 г поступило меньше 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183,8</w:t>
      </w:r>
      <w:r w:rsidRPr="00EB2DE0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тысяч рублей. В сравнении 6 месяцев 2024 г. с 6 месяцами 2025 г. темп роста по уплате налога на имущество физических лиц составил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42,7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процента. При утвержденных плановых назначениях на 2025 г. 3134,2 тысяч рублей, поступления составили 136,9 тысяч рублей.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Причины:</w:t>
      </w:r>
      <w:r w:rsidRPr="00EB2D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выше аналогичного периода прошлого года, в связи с высокой базой прошлого года.</w:t>
      </w:r>
    </w:p>
    <w:p w14:paraId="52B50EFB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земельному налогу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 за отчетный период от годового назначения 2025 года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составили 38,6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процентов. При утвержденных плановых назначениях на 2025 г. 3 434,7 тысяч рублей, поступления составили 1326,3 тысячи рублей.  В сравнении 6 месяцев 2024 г. с 6 месяцами 2025 г. темп роста по уплате налога составил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138,1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процент.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Причины: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выше аналогичного периода прошлого года, в связи с погашением задолженности в большем объеме.</w:t>
      </w:r>
    </w:p>
    <w:p w14:paraId="070C9B6A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бюджет муниципального образования «Дондуковское сельское поселение» за 6 месяцев 2025 года поступило </w:t>
      </w: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государственной пошлины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6,1 тысяча рублей, что составило 24,4 процента выполнения, госпошлина за совершение нотариальных действий начисляется по мере обращения граждан за оказанием данной муниципальной услуги (оплата поступает своевременно</w:t>
      </w:r>
      <w:r w:rsidRPr="00EB2D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). </w:t>
      </w:r>
      <w:r w:rsidRPr="00EB2D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Причины:</w:t>
      </w:r>
      <w:r w:rsidRPr="00EB2D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1 сентября 2019 г. вступил в силу Федеральный закон от 26 июля 2019 г.  №226-ФЗ «О внесении изменений в Основы законодательства Российской Федерации о нотариате и статью 16.1 Федерального закона «Об общих принципах организации местного самоуправления в Российской Федерации» (далее- Федеральный закон). В соответствии с указанным ФЗ из перечня видов нотариальных действий, которые совершают должностные лица органов местного самоуправления, исключены такие сложные нотариальные действия как удостоверение доверенности по распоряжению недвижимым имуществом, завещания.</w:t>
      </w:r>
    </w:p>
    <w:p w14:paraId="09B2D806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штрафам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прогнозные показатели исполнены на 0,0 процентов. При плане 3,0 тысячи рублей, поступления составили 1,0 тысячу рублей. Административной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комиссией муниципального образования «Дондуковское сельское поселение» за отчетный период вынесено 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12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постановлений об административных правонарушениях на общую сумму </w:t>
      </w:r>
      <w:r w:rsidRPr="00EB2D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6,0 тысяч</w:t>
      </w:r>
      <w:r w:rsidRPr="00EB2DE0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рублей. </w:t>
      </w:r>
      <w:r w:rsidRPr="00EB2D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Причины: в соответствии с изменениями, внесенными в статью 66 Закона Республики Адыгея от 19.04.2004 №215 «Об административных правонарушениях» административные штрафы об административных правонарушениях, вынесенные органами местного самоуправления, с 1 января 2020 года должны зачисляться в республиканский бюджет Республики Адыгея.</w:t>
      </w:r>
    </w:p>
    <w:p w14:paraId="2D161F98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прочим доходам от оказания платных услуг (работ) получателями средств бюджетов сельских поселений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прогнозные показатели исполнены на 59,4 процента. При плане 1200,0 тысяч рублей, поступления составили 712,2 тысячи рублей. Денежные средства от указанного вида дохода поступают своевременно и в полном объеме.</w:t>
      </w:r>
    </w:p>
    <w:p w14:paraId="44C6D3A6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EB2D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доходам,</w:t>
      </w:r>
      <w:r w:rsidRPr="00EB2D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B2D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поступающим в порядке возмещения расходов, понесенных в связи с эксплуатацией имущества сельских поселений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прогнозные показатели исполнены на 79,0 процентов. При плане 800,0 тысяч рублей, поступления составили 631,7 тысяч рублей. Денежные средства от указанного вида дохода поступают своевременно и в полном объеме.</w:t>
      </w:r>
    </w:p>
    <w:p w14:paraId="1AB26172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EB2D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доходам от использования имущества, находящегося в государственной и муниципальной собственности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плане 0,0 тысяч рублей, поступления составили 0,0009 тысяч рублей.</w:t>
      </w:r>
    </w:p>
    <w:p w14:paraId="48511999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доходам от сумм пеней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предусмотренных законодательством Российской Федерации о налогах и сборах, при плане 0,0 тысяч рублей, поступления составили 66,4 тысячи рублей.</w:t>
      </w:r>
    </w:p>
    <w:p w14:paraId="6A4FCB7C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Доходы от реализации имущества,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при плане 0,0 тысяч рублей, поступления составили 168,1 тысяча рублей.</w:t>
      </w:r>
    </w:p>
    <w:p w14:paraId="123E4A23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Прочие неналоговые доходы бюджетов сельских поселений,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плане 30,0 тысяч рублей, поступления составили 30,0 тысяч рублей, или 100,0% процентов исполнения.</w:t>
      </w:r>
    </w:p>
    <w:p w14:paraId="7AAEDE61" w14:textId="77777777" w:rsidR="00EB2DE0" w:rsidRPr="00EB2DE0" w:rsidRDefault="00EB2DE0" w:rsidP="00EB2DE0">
      <w:pPr>
        <w:numPr>
          <w:ilvl w:val="0"/>
          <w:numId w:val="7"/>
        </w:num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2DE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Инициативные платежи, зачисляемые в бюджеты сельских поселений </w:t>
      </w:r>
      <w:r w:rsidRPr="00EB2DE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плане 490,0 тысяч рублей, поступления составили 490,0 тысяч рублей или 100,0% исполнения.</w:t>
      </w:r>
    </w:p>
    <w:p w14:paraId="21961BE3" w14:textId="77777777" w:rsidR="00EB2DE0" w:rsidRPr="00EB2DE0" w:rsidRDefault="00EB2DE0" w:rsidP="00EB2DE0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F75391" w14:textId="16B895A1" w:rsidR="00C44A95" w:rsidRDefault="00C44A95">
      <w:pPr>
        <w:jc w:val="both"/>
        <w:rPr>
          <w:color w:val="000000"/>
        </w:rPr>
      </w:pPr>
    </w:p>
    <w:p w14:paraId="195D875B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РАСХОДЫ</w:t>
      </w:r>
    </w:p>
    <w:p w14:paraId="341E5F36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14:paraId="2FEEA4E7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План, уточненный на 2025 год 84 670,2 тысячи рублей, исполнено 13 620,0 тысячи рублей или 16,1% исполнения.</w:t>
      </w:r>
    </w:p>
    <w:p w14:paraId="7138F3C7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0ED0C89" w14:textId="77777777" w:rsidR="00CD5A08" w:rsidRPr="00CD5A08" w:rsidRDefault="00CD5A08" w:rsidP="00CD5A08">
      <w:pPr>
        <w:suppressAutoHyphens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lastRenderedPageBreak/>
        <w:t>Общегосударственные вопросы</w:t>
      </w:r>
    </w:p>
    <w:p w14:paraId="1106A556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4701853F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      По подразделу 0102 "Функционирование высшего должностного лица муниципального образования»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расходы на содержание главы муниципального образования исполнены на 529,4 тысячи рублей при плане 1247,7 тысяч рублей или 42,4 % исполнения.</w:t>
      </w:r>
      <w:r w:rsidRPr="00CD5A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>Израсходована на зарплату главы муниципального образования.</w:t>
      </w:r>
    </w:p>
    <w:p w14:paraId="206193C9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Расходы на отчисления на оплату труда составили 133,2 тысячи рублей при плане 376,8 тысяч рублей или 28,3 % исполнения.</w:t>
      </w:r>
    </w:p>
    <w:p w14:paraId="5A6F4DF3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По подразделу 0104 "Функционирование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администраций"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при плане 6953,7 тысяч рублей, исполнено 3151,3 тысячи рублей или 45,3 % исполнения. Расходы произведены на заработную плату аппарата муниципального образования.</w:t>
      </w:r>
    </w:p>
    <w:p w14:paraId="7B0E4B80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Расходы на отчисления на оплату труда составили 763,0 тысячи рублей при плане 2100,0 тысячи рублей или 36,3 % исполнения. </w:t>
      </w:r>
    </w:p>
    <w:p w14:paraId="6E7360BD" w14:textId="1148FA10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Материально- технические обеспечение аппарата – при плане 800,0 тысяч рублей исполнение составило 559,5 тысяч рублей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или 69,9% исполнения,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том числе: оплата за связь и интернет- 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32,9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</w:t>
      </w: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оплата за обеспечение электронно-периодического справочника- 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94,6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 оплата за предрейсовый медицинский осмотр -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25,9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оплата за негативное воздействие на окружающую среду -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26,0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оплата за обеспечение пожарной безопасности- 1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,0 тысяч рублей, оплата ГСМ на служебные автомобили- 9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4,9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</w:t>
      </w:r>
      <w:r w:rsidRPr="00CD5A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оплата запчастей – 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5,5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оплата за канцелярские товары -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71,7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оплата страховки- 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,3 тысячи рублей, оплата за свет -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56,6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</w:t>
      </w:r>
      <w:r w:rsidRPr="00CD5A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оплата за газ (здание администрации) -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46,2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тысячи рублей, заправка оргтехники- 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31,0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</w:t>
      </w:r>
      <w:r w:rsidRPr="00CD5A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оплата за ремонт и техническое обслуживание оргтехники- 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,3 тысяч рублей, оплата имущественных налогов 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5,9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</w:t>
      </w:r>
      <w:r w:rsidR="00265D8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оплата за монитор 29,1 тысяч рублей, хозяйственные расходы 4,2 тысячи рублей, оплата за тко 2,4 тысячи рублей.</w:t>
      </w:r>
    </w:p>
    <w:p w14:paraId="5B531A96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По подразделу 0107 "Обеспечение проведения выборов и референдумов»"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при плане 10,0 тысяч рублей, исполнение 0,0 тысяч рублей или 0,0% исполнения.</w:t>
      </w:r>
      <w:r w:rsidRPr="00CD5A0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ar-SA"/>
        </w:rPr>
        <w:t xml:space="preserve">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Расхода по данному подразделу в отчетном периоде не было.</w:t>
      </w:r>
    </w:p>
    <w:p w14:paraId="1E2FC3F0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По подразделу 0111 «Резервные фонды»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при плане 100,0 тысяч рублей, исполнение 0,0 тысяч рублей. Расхода по данному подразделу в отчетном периоде не было. </w:t>
      </w:r>
    </w:p>
    <w:p w14:paraId="297C80B1" w14:textId="4A7780AC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По подразделу 0113 "Другие общегосударственные вопросы"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уточненный план </w:t>
      </w:r>
      <w:r w:rsidR="00AA5E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1918,1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исполнено 1</w:t>
      </w:r>
      <w:r w:rsidR="00AA5E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374,1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 или </w:t>
      </w:r>
      <w:r w:rsidR="00AA5E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71,6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% исполнения, в том числе:</w:t>
      </w:r>
    </w:p>
    <w:p w14:paraId="2861CA1D" w14:textId="643794B7" w:rsidR="00CD5A08" w:rsidRPr="00F93351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Не программные расходы произведены на: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оплата за услуги связи и телефонию </w:t>
      </w:r>
      <w:r w:rsidR="00AA5EED"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3,5</w:t>
      </w:r>
      <w:r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оплата по договору гражданско-правового характера </w:t>
      </w:r>
      <w:r w:rsidR="00AA5EED"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133,9</w:t>
      </w:r>
      <w:r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оплата за техническое обслуживание оборудования</w:t>
      </w:r>
      <w:r w:rsidR="001369F6"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котельной</w:t>
      </w:r>
      <w:r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1369F6"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359,0</w:t>
      </w:r>
      <w:r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оплата за оформление годовой </w:t>
      </w:r>
      <w:r w:rsid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подписки электронно- периодического справочника 50,0 тысяч рублей, </w:t>
      </w:r>
      <w:r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оплата за ГСМ </w:t>
      </w:r>
      <w:r w:rsidR="00AA5EED"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22,4</w:t>
      </w:r>
      <w:r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тысячи рублей, оплата за канцелярские товары </w:t>
      </w:r>
      <w:r w:rsidR="00AA5EED"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52,0</w:t>
      </w:r>
      <w:r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тысячи рублей, оплата за газ (ДК) 2</w:t>
      </w:r>
      <w:r w:rsidR="008B799E"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92,6</w:t>
      </w:r>
      <w:r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</w:t>
      </w:r>
      <w:r w:rsidR="008B799E" w:rsidRP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оплата налога на имущество 7,3 тысячи рублей, оплата членских взносов в ассоциацию 16,6 тысяч рублей</w:t>
      </w:r>
      <w:r w:rsidR="00F933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оплата за публикацию в газете «Красное Знамя» 41,8 тысяч рублей.</w:t>
      </w:r>
    </w:p>
    <w:p w14:paraId="4A937CC5" w14:textId="6DCFC2BC" w:rsid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Так же, за счет выделенных средств из резервного фонда администрации муниципального образования «Г</w:t>
      </w:r>
      <w:r w:rsidR="00D539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иа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гинский район» были выделены денежные средства в сумме </w:t>
      </w:r>
      <w:r w:rsidR="00111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395,0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</w:t>
      </w:r>
      <w:r w:rsidR="008B799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в том числе:</w:t>
      </w:r>
    </w:p>
    <w:p w14:paraId="6A8F555B" w14:textId="6ABA652D" w:rsidR="008B799E" w:rsidRDefault="008B799E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- 91,2 тысячи рублей оплата за сетку безузловую трикотажную на СВО.</w:t>
      </w:r>
    </w:p>
    <w:p w14:paraId="2027CB88" w14:textId="4454AAA3" w:rsidR="008B799E" w:rsidRDefault="008B799E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- 64,2 тысячи рублей приобретение тюльпанов женам и матерям участников СВО (8 марта).</w:t>
      </w:r>
    </w:p>
    <w:p w14:paraId="33158AA1" w14:textId="7F23083A" w:rsidR="008B799E" w:rsidRPr="00CD5A08" w:rsidRDefault="008B799E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- 239,6 тысяч рублей приобретение продуктовых наборов семьям участников СВО (9 мая).</w:t>
      </w:r>
    </w:p>
    <w:p w14:paraId="1726814A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Программные расходы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по подразделу 0113 «Другие общегосударственные вопросы»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в том числе:</w:t>
      </w:r>
    </w:p>
    <w:p w14:paraId="3B3AA0B1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МП «Профилактика правонарушений, терроризма, экстремизма и противодействие незаконному обороту наркотических средств на территории муниципального образования «Дондуковское сельское поселение» при плане 15,0 тысяч рублей, фактически израсходовано 0,0 тысяч рублей или 0,0 процентов исполнения. </w:t>
      </w:r>
    </w:p>
    <w:p w14:paraId="5333719A" w14:textId="77777777" w:rsid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      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МП "Повышение безопасности дорожного движения" при плане 10,0 тысяч рублей, фактического расхода не было. </w:t>
      </w:r>
    </w:p>
    <w:p w14:paraId="7F95EC1E" w14:textId="30DC21AD" w:rsidR="00AA5EED" w:rsidRDefault="00AA5EED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МП «Поддержка и развитие малого и среднего предпринимательства» при плане 10,0 тысяч рублей, фактически расхода не было.</w:t>
      </w:r>
    </w:p>
    <w:p w14:paraId="3A4143B2" w14:textId="4F918D89" w:rsidR="00AA5EED" w:rsidRPr="00CD5A08" w:rsidRDefault="00AA5EED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МП «Военно-патриотическое воспитание несовершеннолетних и молодежи муниципального образования «Дондуковское сельское поселение» при плане 20,0 тысяч рублей, фактически расхода не было.</w:t>
      </w:r>
    </w:p>
    <w:p w14:paraId="779A0FD6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6C5E7E59" w14:textId="77777777" w:rsidR="00CD5A08" w:rsidRPr="00CD5A08" w:rsidRDefault="00CD5A08" w:rsidP="00CD5A08">
      <w:pPr>
        <w:suppressAutoHyphens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Национальная оборона</w:t>
      </w:r>
    </w:p>
    <w:p w14:paraId="0022150C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68E1273" w14:textId="416760E1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CD5A08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По подразделу 0203 "Мобилизационная и вневойсковая подготовка"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средств субвенции из республиканского бюджета Республики Адыгея на осуществление первичного воинского учета на территориях, где отсутствуют военные комиссариаты расходы за отчетный период расходы составили 1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95,8 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тысяч рублей, при плановых назначениях 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>419,4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или 4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>6,7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 исполнения. Оплачена заработная плата с начислениями работнику ВУС- 1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>95,8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рублей.</w:t>
      </w:r>
    </w:p>
    <w:p w14:paraId="03669C40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284F647" w14:textId="77777777" w:rsidR="00CD5A08" w:rsidRPr="00CD5A08" w:rsidRDefault="00CD5A08" w:rsidP="00CD5A08">
      <w:pPr>
        <w:suppressAutoHyphens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Национальная безопасность и правоохранительная деятельность</w:t>
      </w:r>
    </w:p>
    <w:p w14:paraId="11E8D005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30B7C05" w14:textId="538B64E1" w:rsidR="00CD5A08" w:rsidRPr="00CD5A08" w:rsidRDefault="00CD5A08" w:rsidP="00111DDC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        По подразделу 0310 "Защита населения и территории от чрезвычайных ситуаций природного и техногенного характера, пожарная безопасность"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Муниципальная программа «Обеспечение мер пожарной безопасности» при плане 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00,0 тысяч рублей, исполнение составило 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>46,8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рублей или 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>46,8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 исполнения. Данная сумма израсходована 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запасные части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автомобиля АРС –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>5,0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рублей и оплату по договорам гражданско-правового характера с отчислениями по противопожарной безопасности 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>41,8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рублей</w:t>
      </w:r>
      <w:r w:rsidR="00111DD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AA18656" w14:textId="77777777" w:rsidR="00CD5A08" w:rsidRPr="00CD5A08" w:rsidRDefault="00CD5A08" w:rsidP="00CD5A08">
      <w:pPr>
        <w:suppressAutoHyphens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ar-SA"/>
        </w:rPr>
      </w:pPr>
    </w:p>
    <w:p w14:paraId="61AB65C2" w14:textId="77777777" w:rsidR="00CD5A08" w:rsidRPr="00CD5A08" w:rsidRDefault="00CD5A08" w:rsidP="00CD5A08">
      <w:pPr>
        <w:suppressAutoHyphens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ar-SA"/>
        </w:rPr>
        <w:t>Национальная экономика</w:t>
      </w:r>
    </w:p>
    <w:p w14:paraId="076BBF7D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14:paraId="4B9DC320" w14:textId="1D37D9A4" w:rsidR="00CD5A08" w:rsidRDefault="00CD5A08" w:rsidP="00CD5A08">
      <w:pPr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  По подразделу 0409 "Дорожное хозяйство (дорожные фонды)"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МП «Дорожное хозяйство» при плане 4825,5 тысяч рублей, исполнено 24</w:t>
      </w:r>
      <w:r w:rsid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38,4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</w:t>
      </w:r>
      <w:r w:rsid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 или 50,</w:t>
      </w:r>
      <w:r w:rsid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% исполнения на содержание сети автомобильных дорог, в том числе:</w:t>
      </w:r>
    </w:p>
    <w:p w14:paraId="412A040F" w14:textId="178B874F" w:rsidR="00386ED2" w:rsidRDefault="00386ED2" w:rsidP="00CD5A08">
      <w:pPr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- оплата за услуги по завозу гравийно-песчаной смеси </w:t>
      </w: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252,0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тысячи рублей;</w:t>
      </w:r>
    </w:p>
    <w:p w14:paraId="4E785F1E" w14:textId="2AB1071F" w:rsidR="00386ED2" w:rsidRDefault="00386ED2" w:rsidP="00CD5A08">
      <w:pPr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- оплата за услуги по расчистке обочин от порослей на дорогах местного значения </w:t>
      </w: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106,4 тысячи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14:paraId="776150C8" w14:textId="290F8964" w:rsidR="00386ED2" w:rsidRDefault="00386ED2" w:rsidP="00CD5A08">
      <w:pPr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- оплата за услуги экскаватора- погрузчика по расчистке от снега дорог местного значения </w:t>
      </w: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67,2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тысячи рублей;</w:t>
      </w:r>
    </w:p>
    <w:p w14:paraId="00FB416E" w14:textId="68F5BC61" w:rsidR="00386ED2" w:rsidRPr="00CD5A08" w:rsidRDefault="00386ED2" w:rsidP="00CD5A08">
      <w:pPr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- оплата за услуги по нанесению дорожной </w:t>
      </w: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разметки 346,6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тысяч рублей;</w:t>
      </w:r>
    </w:p>
    <w:p w14:paraId="7E537C9C" w14:textId="22FFBE9F" w:rsid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оплата за электротовары для уличного освещения </w:t>
      </w:r>
      <w:r w:rsidR="005A424B"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135,</w:t>
      </w:r>
      <w:r w:rsidR="00C92EE9"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</w:t>
      </w:r>
      <w:r w:rsidR="005A424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14:paraId="2826006A" w14:textId="38CE451E" w:rsidR="00FA4C87" w:rsidRDefault="00FA4C87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оплата за услуги по ремонту и монтажу уличного освещения 104,0 тысячи рублей;</w:t>
      </w:r>
    </w:p>
    <w:p w14:paraId="68385F0C" w14:textId="09E62C91" w:rsidR="00FA4C87" w:rsidRDefault="00FA4C87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оплата за услуги трактора МТЗ -80 по вывозу веток </w:t>
      </w: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30,0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рублей;</w:t>
      </w:r>
    </w:p>
    <w:p w14:paraId="1C875B8C" w14:textId="154AFA33" w:rsidR="00FA4C87" w:rsidRDefault="00FA4C87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оплата за проведение инженерно-геодезических изысканий по объекту: «Реконструкция подъездной автомобильной дороги» </w:t>
      </w:r>
      <w:r w:rsidR="005A424B"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100,0</w:t>
      </w:r>
      <w:r w:rsidR="005A424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рублей;</w:t>
      </w:r>
    </w:p>
    <w:p w14:paraId="109CB6DA" w14:textId="09823314" w:rsidR="00FA4C87" w:rsidRPr="00C92EE9" w:rsidRDefault="00FA4C87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оплата за выполнения кадастровых работ 114,0 тысяч рублей;</w:t>
      </w:r>
    </w:p>
    <w:p w14:paraId="63E072A4" w14:textId="01A8B304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оплата за уличное освещение </w:t>
      </w:r>
      <w:r w:rsidR="005A424B"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592,0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</w:t>
      </w:r>
      <w:r w:rsidR="005A424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14:paraId="00BC18FD" w14:textId="7DA4DBAF" w:rsidR="00CD5A08" w:rsidRPr="00C92EE9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-оплата за гравийно-песчаную смесь 3</w:t>
      </w:r>
      <w:r w:rsidR="005A424B"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80,0</w:t>
      </w: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рублей;</w:t>
      </w:r>
    </w:p>
    <w:p w14:paraId="5AD17603" w14:textId="4D4FE11E" w:rsidR="00CD5A08" w:rsidRPr="00C92EE9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-оплата за услуги автогрейдера </w:t>
      </w:r>
      <w:r w:rsidR="00386ED2"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FA4C87"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10,9</w:t>
      </w:r>
      <w:r w:rsidRPr="00C92E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рублей;</w:t>
      </w:r>
    </w:p>
    <w:p w14:paraId="30A94A53" w14:textId="1F1F97A7" w:rsidR="00CD5A08" w:rsidRPr="00CD5A08" w:rsidRDefault="00CD5A08" w:rsidP="00CD5A08">
      <w:pPr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</w:t>
      </w: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По подразделу 0412 "Другие вопросы в области национальной экономики"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Муниципальная программа «Регулирование земельно-имущественных отношений" при плане 190,0 тысяч рублей, исполнено </w:t>
      </w:r>
      <w:r w:rsidR="00111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55,8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 или </w:t>
      </w:r>
      <w:r w:rsidR="00111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29,4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% исполнения, в том числе:</w:t>
      </w:r>
    </w:p>
    <w:p w14:paraId="699527F1" w14:textId="2E849659" w:rsidR="00CD5A08" w:rsidRPr="00CD5A08" w:rsidRDefault="00CD5A08" w:rsidP="00CD5A08">
      <w:pPr>
        <w:suppressAutoHyphen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оплата за</w:t>
      </w:r>
      <w:r w:rsidR="00111D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проведение кадастровых работ 3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0,0 тысяч рублей.</w:t>
      </w:r>
    </w:p>
    <w:p w14:paraId="7BB82BB5" w14:textId="5DD937CA" w:rsidR="00CD5A08" w:rsidRDefault="00111DDC" w:rsidP="00111DDC">
      <w:pPr>
        <w:suppressAutoHyphens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оплата за публикацию в газете «Красное Знамя» 10,1 тысяч рублей.</w:t>
      </w:r>
    </w:p>
    <w:p w14:paraId="7B1E3939" w14:textId="36B05B62" w:rsidR="00111DDC" w:rsidRPr="00111DDC" w:rsidRDefault="00111DDC" w:rsidP="00111DDC">
      <w:pPr>
        <w:suppressAutoHyphens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оплата за страховую премию (дамбы)15,7 тысяч рублей.</w:t>
      </w:r>
    </w:p>
    <w:p w14:paraId="6371B164" w14:textId="77777777" w:rsidR="00CD5A08" w:rsidRPr="00CD5A08" w:rsidRDefault="00CD5A08" w:rsidP="00CD5A08">
      <w:pPr>
        <w:suppressAutoHyphens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ar-SA"/>
        </w:rPr>
        <w:t>Жилищно-коммунальное хозяйство</w:t>
      </w:r>
    </w:p>
    <w:p w14:paraId="1BAF463C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</w:p>
    <w:p w14:paraId="2E263DC5" w14:textId="3DDC37D9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 По подразделу 0502 «Коммунальное хозяйство»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при уточненном плане </w:t>
      </w:r>
      <w:r w:rsidR="001F22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52455,0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исполнение составило </w:t>
      </w:r>
      <w:r w:rsidR="00AD26AA" w:rsidRPr="00AD26AA">
        <w:rPr>
          <w:rFonts w:ascii="Times New Roman" w:eastAsia="Times New Roman" w:hAnsi="Times New Roman" w:cs="Times New Roman"/>
          <w:sz w:val="28"/>
          <w:szCs w:val="28"/>
          <w:lang w:eastAsia="ar-SA"/>
        </w:rPr>
        <w:t>1072,7</w:t>
      </w:r>
      <w:r w:rsidRPr="00AD2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тысяч рублей, или </w:t>
      </w:r>
      <w:r w:rsidR="00AD26A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% исполнения.</w:t>
      </w:r>
    </w:p>
    <w:p w14:paraId="0C1C7D78" w14:textId="15A27D25" w:rsid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 По программе "Комплексное развитие систем коммунальной инфраструктуры"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при плане уточненном плане </w:t>
      </w:r>
      <w:r w:rsidR="00A034C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52455,0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фактически израсходовано </w:t>
      </w:r>
      <w:r w:rsidRPr="00AD26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AD26AA" w:rsidRPr="00AD26AA">
        <w:rPr>
          <w:rFonts w:ascii="Times New Roman" w:eastAsia="Times New Roman" w:hAnsi="Times New Roman" w:cs="Times New Roman"/>
          <w:sz w:val="28"/>
          <w:szCs w:val="28"/>
          <w:lang w:eastAsia="ar-SA"/>
        </w:rPr>
        <w:t>072,7</w:t>
      </w:r>
      <w:r w:rsidRPr="00AD2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тысяч рублей или </w:t>
      </w:r>
      <w:r w:rsidR="00AD26A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% исполнения, в том числе:</w:t>
      </w:r>
    </w:p>
    <w:p w14:paraId="17FD69E5" w14:textId="491968C3" w:rsidR="001F220B" w:rsidRDefault="001F220B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F220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-69,2 тысячи рублей оплата за ремонт насосов марки ЭЦВ 6-10-110 в количестве 2 штуки.</w:t>
      </w:r>
    </w:p>
    <w:p w14:paraId="77549130" w14:textId="346FB17F" w:rsidR="001F220B" w:rsidRDefault="001F220B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-21,0 тысяч рублей оплата за внесение информации по водоснабжению в систему АИС «Реформа ЖКХ».</w:t>
      </w:r>
    </w:p>
    <w:p w14:paraId="13C152F7" w14:textId="23244406" w:rsidR="00A034C0" w:rsidRDefault="00A034C0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-17,7 тысяч рублей оплата за хоз. товары и запасные части.</w:t>
      </w:r>
    </w:p>
    <w:p w14:paraId="0DCA8B17" w14:textId="4FD600A5" w:rsidR="00A034C0" w:rsidRDefault="00AD26AA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             </w:t>
      </w:r>
      <w:r w:rsidR="00A034C0" w:rsidRPr="00AD2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Так же в рамках программы на мероприятия по комплексному развитию систем коммунальной инфраструктуры</w:t>
      </w:r>
      <w:r w:rsidR="00A034C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034C0" w:rsidRPr="00AD2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МКУ «Дондуковское коммунальное хозяйство»</w:t>
      </w:r>
      <w:r w:rsidR="00A034C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предусмотрены денежные средства в сумме 2600,00 тысяч рублей, расход составил 964,8 тысяч рублей, или 37,1% исполнения. В том числе:</w:t>
      </w:r>
    </w:p>
    <w:p w14:paraId="2CB3A010" w14:textId="4892283D" w:rsidR="00A034C0" w:rsidRDefault="00A034C0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- 480,0 тысяч рублей заработная плата;</w:t>
      </w:r>
    </w:p>
    <w:p w14:paraId="70B3F7E9" w14:textId="436B8F6D" w:rsidR="00A034C0" w:rsidRDefault="00A034C0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- 122,3 тысяч рублей начисления на заработную плату;</w:t>
      </w:r>
    </w:p>
    <w:p w14:paraId="4FC9B61D" w14:textId="6B136228" w:rsidR="00A034C0" w:rsidRDefault="00A034C0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- 5,4 тысячи рублей компенсация расходов за использование личного транспорта в служебных целях.</w:t>
      </w:r>
    </w:p>
    <w:p w14:paraId="3DFFA7F7" w14:textId="6BA210EF" w:rsidR="00A034C0" w:rsidRDefault="00A034C0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- 60,3 тысячи рублей оплата договоров гражданско-правового характера;</w:t>
      </w:r>
    </w:p>
    <w:p w14:paraId="51296EF2" w14:textId="23D95506" w:rsidR="00A034C0" w:rsidRDefault="00F64BDF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- 4,5 тысяч рублей оплата за ТО ККТ (1,2 квартал);</w:t>
      </w:r>
    </w:p>
    <w:p w14:paraId="7B9B2962" w14:textId="19B7F0AD" w:rsidR="00F64BDF" w:rsidRDefault="00F64BDF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- 2</w:t>
      </w:r>
      <w:r w:rsidR="00AD26A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,3 тысячи рублей оплата за проведение лабораторных исследований качества питьевой воды;</w:t>
      </w:r>
    </w:p>
    <w:p w14:paraId="4B9E19BD" w14:textId="3E3F0914" w:rsidR="00F64BDF" w:rsidRDefault="00F64BDF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- 1,0 тысяч рублей оплата за переоформление документов о ТП.</w:t>
      </w:r>
    </w:p>
    <w:p w14:paraId="7F3FAB8F" w14:textId="77777777" w:rsidR="00F64BDF" w:rsidRDefault="00F64BDF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- 1,8 тысяч рублей оплата за кассовую ленту.</w:t>
      </w:r>
    </w:p>
    <w:p w14:paraId="7C565895" w14:textId="0F717A2C" w:rsidR="00F64BDF" w:rsidRDefault="00F64BDF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- 18,1 тысяч рублей оплата за хозяйственные товары.</w:t>
      </w:r>
    </w:p>
    <w:p w14:paraId="4A7EB6ED" w14:textId="0F68B045" w:rsidR="00F64BDF" w:rsidRDefault="00F64BDF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- 241,2 тысячи рублей оплата за электроэнергию.</w:t>
      </w:r>
    </w:p>
    <w:p w14:paraId="5400592B" w14:textId="25F9F343" w:rsidR="00F64BDF" w:rsidRDefault="00AD26AA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- 3,9 тысяч рублей оплата водного налога.</w:t>
      </w:r>
    </w:p>
    <w:p w14:paraId="139F8DE6" w14:textId="4C30E542" w:rsidR="00A034C0" w:rsidRPr="001F220B" w:rsidRDefault="00AD26AA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- 1,0 тысяча рублей оплата штрафа.</w:t>
      </w:r>
    </w:p>
    <w:p w14:paraId="5C5074F2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По программе "Развитие сельской территории"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при плане 50,0 тысяч рублей, фактически расхода не было.</w:t>
      </w:r>
    </w:p>
    <w:p w14:paraId="15A343DB" w14:textId="020C6C5B" w:rsidR="00CD5A08" w:rsidRPr="00F9379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9379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ar-SA"/>
        </w:rPr>
        <w:t xml:space="preserve">        По подразделу 0503 "Благоустройство",</w:t>
      </w:r>
      <w:r w:rsidRPr="00F93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при уточненном плане- </w:t>
      </w:r>
      <w:r w:rsidR="00AD26AA" w:rsidRPr="00F93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11653,2</w:t>
      </w:r>
      <w:r w:rsidRPr="00F93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тысяч</w:t>
      </w:r>
      <w:r w:rsidR="00AD26AA" w:rsidRPr="00F93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и</w:t>
      </w:r>
      <w:r w:rsidRPr="00F93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рублей, факт- </w:t>
      </w:r>
      <w:r w:rsidR="00F93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2107,1</w:t>
      </w:r>
      <w:r w:rsidRPr="00F93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тысяч рублей, исполнение на </w:t>
      </w:r>
      <w:r w:rsidR="00F93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18,1</w:t>
      </w:r>
      <w:r w:rsidRPr="00F93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%. </w:t>
      </w:r>
    </w:p>
    <w:p w14:paraId="336ED72A" w14:textId="5830B70F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  По программе «Благоустройство»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Подпрограмме по содержанию уличного освещения при плане </w:t>
      </w:r>
      <w:r w:rsidR="00AD26A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0,0 тысяч рублей, фактически израсходовано </w:t>
      </w:r>
      <w:r w:rsidR="00AD26A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240,0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 или </w:t>
      </w:r>
      <w:r w:rsidR="00F9379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60,0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% исполнения. Данная сумма была израсходована на оплату по договору гражданско-правового характера с отчислениями.         </w:t>
      </w:r>
    </w:p>
    <w:p w14:paraId="3E413F59" w14:textId="5FEBA944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По подпрограмме «Озеленение территории» при плане 0,0 тысяч рублей, факт 0,0 тысяч рублей, расхода по данной подпрограмме не было.</w:t>
      </w:r>
    </w:p>
    <w:p w14:paraId="6828120C" w14:textId="00393BC0" w:rsidR="00CD5A08" w:rsidRPr="00265D8D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По подпрограмме по содержанию и организации мест захоронения при плане 200,0 тысяч рублей, расход составил </w:t>
      </w:r>
      <w:r w:rsidR="008E52A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 или </w:t>
      </w:r>
      <w:r w:rsidR="008E52A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% исполнения. </w:t>
      </w:r>
      <w:r w:rsidR="00F9379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Оплата за транспортировку безродних в морг.</w:t>
      </w:r>
    </w:p>
    <w:p w14:paraId="64493298" w14:textId="280072E3" w:rsid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По подпрограмме по санитарному содержанию территории поселения при уточненном плане 2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623,9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расход составил 1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76</w:t>
      </w:r>
      <w:r w:rsidR="00F9379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7,1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или </w:t>
      </w:r>
      <w:r w:rsidR="008E52A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67,3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%, в том числе:</w:t>
      </w:r>
    </w:p>
    <w:p w14:paraId="37E50417" w14:textId="3E07333F" w:rsidR="00F93798" w:rsidRDefault="00F9379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- 916,1 тысяч рублей оплата по договорам гражданско-правового характера;</w:t>
      </w:r>
    </w:p>
    <w:p w14:paraId="5271BF68" w14:textId="5564127D" w:rsidR="00F93798" w:rsidRDefault="00F9379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711C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44,4 тысячи рублей оплата за предрейсовый медицинский осмотр;</w:t>
      </w:r>
    </w:p>
    <w:p w14:paraId="02D4118B" w14:textId="4B12BDDE" w:rsidR="00711C51" w:rsidRDefault="00711C51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- 206,6 тысяч рублей оплата за ГСМ.</w:t>
      </w:r>
    </w:p>
    <w:p w14:paraId="1F7F61F8" w14:textId="4188BB9D" w:rsidR="00711C51" w:rsidRDefault="00711C51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-108,6 тысяч рублей оплата за материалы для видеонаблюдения;</w:t>
      </w:r>
    </w:p>
    <w:p w14:paraId="4A25E980" w14:textId="6A95184F" w:rsidR="00711C51" w:rsidRDefault="00711C51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- 21,3 тысяч рублей оплата за спецодежду;</w:t>
      </w:r>
    </w:p>
    <w:p w14:paraId="47D03E7E" w14:textId="6475B268" w:rsidR="00711C51" w:rsidRDefault="00711C51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- 120,5 тысяч рублей оплата за хозяйственные товары и запасные части.</w:t>
      </w:r>
    </w:p>
    <w:p w14:paraId="603E36EA" w14:textId="124A25E9" w:rsidR="008E52AD" w:rsidRPr="00CD5A08" w:rsidRDefault="00711C51" w:rsidP="00711C51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- 349,6 тысяч рублей оплата за скамьи и урны.</w:t>
      </w:r>
    </w:p>
    <w:p w14:paraId="5A4EC42E" w14:textId="1DDD925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По подпрограмме по ремонту тротуаров, площадок и обустройству парковок муниципального образования «Дондуковское сельское поселение» п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ри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плане 0,0 тысяч рублей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расхода не было.</w:t>
      </w:r>
    </w:p>
    <w:p w14:paraId="1AC900DD" w14:textId="5C530552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По подпрограмме содержание и ремонт памятников и обелисков муниципального образования «Дондуковское сельское поселение» 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30,0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рублей, расхода за отчетный период не было.</w:t>
      </w:r>
    </w:p>
    <w:p w14:paraId="55BEF715" w14:textId="6B0B7585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По подпрограмме по строительству и реконструкции детских спортивных площадок в муниципальном образовании «Дондуковское сельское поселение» при 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плане 50,0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тысяч рублей, фактически израсходовано 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46,7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тысяч рублей или 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93,4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%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Данная сумма израсходована на изготовление проектно-сметной документации.</w:t>
      </w:r>
    </w:p>
    <w:p w14:paraId="6666BA7C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  Так же по подразделу 0503 «Благоустройство». На основании Постановления Кабинета Министров Республики Адыгея от 10.10.2018 N 212 "О некоторых вопросах реализации проектов развития общественной инфраструктуры, основанных на местных инициативах" и Распоряжения Кабинета министров Республики Адыгея № 211-р от 16 мая 2025 года «О распределении субсидий из республиканского бюджета Республики Адыгея бюджетам городских и сельских поселений на софинансирование проектов развития общественной инфраструктуры, основанных на местных инициативах, реализуемых на территории городских и сельских поселений в 2025 году» будут реализованы 2 мероприятия по инициативному бюджетированию при плане 3299,3 тысячи рублей, исполнение составило 0,0 тысяч рублей.</w:t>
      </w:r>
    </w:p>
    <w:p w14:paraId="0E0D0A7B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 На реализацию 1-го проекта выделены денежные средства из четырех источников:</w:t>
      </w:r>
    </w:p>
    <w:p w14:paraId="2557C596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2000,0 тысяч рублей </w:t>
      </w:r>
      <w:bookmarkStart w:id="0" w:name="_Hlk203040702"/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из Республиканского бюджета (Субсидия на основании Соглашения № 79605410-1-2025-001 от 02.06.2025 г. о предоставлении субсидии бюджету муниципального образования «Дондуковское сельское поселение» на софинансирование проектов развития общественной инфраструктуры, основанных на местных инициативах, на территории муниципального образования «Дондуковское сельское поселение».</w:t>
      </w:r>
    </w:p>
    <w:bookmarkEnd w:id="0"/>
    <w:p w14:paraId="3343C81C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300,0 тысяч рублей из местного бюджета.  </w:t>
      </w:r>
    </w:p>
    <w:p w14:paraId="4A60B1FD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200,0 тысяч рублей от населения – безвозмездные поступления от физических лиц (жителей).</w:t>
      </w:r>
    </w:p>
    <w:p w14:paraId="7A990C40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200,0 тысяч рублей из внебюджетных источников – безвозмездные поступления от юридических лиц. Будут выполнены работы по проекту: «Благоустройство территории парка им. Чкалова по адресу: ст. Дондуковская, ул. Ленина,167.»</w:t>
      </w:r>
    </w:p>
    <w:p w14:paraId="5C77EF2E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   На реализацию 2-го проекта выделены средства из четырех источников:</w:t>
      </w:r>
    </w:p>
    <w:p w14:paraId="001FA257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lastRenderedPageBreak/>
        <w:t xml:space="preserve">       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440,0 тысяч рублей из Республиканского бюджета (Субсидия на основании Соглашения № 79605410-1-2025-001 от 02.06.2025 г. о предоставлении субсидии бюджету муниципального образования «Дондуковское сельское поселение» на софинансирование проектов развития общественной инфраструктуры, основанных на местных инициативах, на территории муниципального образования «Дондуковское сельское поселение».</w:t>
      </w:r>
    </w:p>
    <w:p w14:paraId="58A382ED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69,3 тысячи рублей из местного бюджета.</w:t>
      </w:r>
    </w:p>
    <w:p w14:paraId="13E29518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45,0 тысяч рублей от населения- безвозмездные поступления от физических лиц (жителей).</w:t>
      </w:r>
    </w:p>
    <w:p w14:paraId="767E7728" w14:textId="232905B2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45,0 тысяч рублей из внебюджетных источников -безвозмездные поступления от юридических лиц. Будут выполнены ра</w:t>
      </w:r>
      <w:r w:rsidR="005A23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боты по «Обустройству ограждения кладбища на хуторе Вольно-Веселый».</w:t>
      </w:r>
    </w:p>
    <w:p w14:paraId="6CAE37A2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          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программе «Энергосбережение и повышение энергетической эффективности» при плане 50,0 тысяч рублей, фактически израсходовано 41,3 тысяч рублей или 82,6 % исполнения. Данная сумма была израсходована на приобретение электротоваров для уличного освещения.</w:t>
      </w:r>
    </w:p>
    <w:p w14:paraId="729936A9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         По муниципальной программе «Формирование комфортной городской среды» </w:t>
      </w:r>
      <w:r w:rsidRPr="00CD5A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план 50,0 тысяч рублей, фактически расхода не было.</w:t>
      </w:r>
    </w:p>
    <w:p w14:paraId="7AD2F87D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0A93C06F" w14:textId="77777777" w:rsidR="00CD5A08" w:rsidRPr="00CD5A08" w:rsidRDefault="00CD5A08" w:rsidP="00CD5A08">
      <w:pPr>
        <w:suppressAutoHyphens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Культура и кинематография</w:t>
      </w:r>
    </w:p>
    <w:p w14:paraId="614A20E3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14:paraId="73DC9800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      По подразделу 0801 "Культура"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 плане 250,0 тысяч рублей, исполнено 64,2 тысячи рублей или 25,7 % исполнения, в том числе:</w:t>
      </w:r>
    </w:p>
    <w:p w14:paraId="70C03BA5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CD5A08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По программе «Памятные и юбилейные даты»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плане 100,0 тысяч рублей, исполнение составило 64,2 тысячи рублей. Произведена оплата за цветы и призы на праздничные мероприятия.</w:t>
      </w:r>
    </w:p>
    <w:p w14:paraId="19BD2EB1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      По программе «Поддержка Дондуковского станичного казачьего общества муниципального образования «Дондуковское сельское поселение» 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плане 150,0 тысяч рублей, фактически расхода не было.</w:t>
      </w:r>
    </w:p>
    <w:p w14:paraId="09B4F89F" w14:textId="77777777" w:rsidR="00CD5A08" w:rsidRPr="00CD5A08" w:rsidRDefault="00CD5A08" w:rsidP="00CD5A08">
      <w:pPr>
        <w:suppressAutoHyphens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EB2A7B3" w14:textId="77777777" w:rsidR="00CD5A08" w:rsidRPr="00CD5A08" w:rsidRDefault="00CD5A08" w:rsidP="00CD5A08">
      <w:pPr>
        <w:suppressAutoHyphens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Социальное обеспечение</w:t>
      </w:r>
    </w:p>
    <w:p w14:paraId="26D88A38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14:paraId="5C3B5A7D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CD5A08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 По подразделу 1001 "Социальное обеспечение"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МП «Социальная политика» расходы на выплату пенсии муниципальным служащим составили при плане 573,6 тысяч рублей, исполнено 283,9 тысяч рублей или 49,5 % исполнения от плановых назначений. Оплата пенсионного обеспечения лиц, замещающих муниципальные должности. Данные выплаты получают 5 человек.</w:t>
      </w:r>
    </w:p>
    <w:p w14:paraId="6C0B4693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079F5517" w14:textId="77777777" w:rsidR="00CD5A08" w:rsidRPr="00CD5A08" w:rsidRDefault="00CD5A08" w:rsidP="00CD5A08">
      <w:pPr>
        <w:suppressAutoHyphens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Физическая культура и спорт</w:t>
      </w:r>
    </w:p>
    <w:p w14:paraId="06900530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14:paraId="5E23ADE5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     </w:t>
      </w:r>
      <w:r w:rsidRPr="00CD5A08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По подразделу 1101 "Физическая культура и спорт"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при плане 100,0 тысяч рублей, исполнено 22,3 тысячи рублей или 22,3 % исполнения, в том числе: </w:t>
      </w:r>
    </w:p>
    <w:p w14:paraId="19D31185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>-22,3 тысячи рублей оплата за кубки, медали на ленте;</w:t>
      </w:r>
    </w:p>
    <w:p w14:paraId="5153E14C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F7137A" w14:textId="77777777" w:rsidR="00CD5A08" w:rsidRPr="00CD5A08" w:rsidRDefault="00CD5A08" w:rsidP="00CD5A08">
      <w:pPr>
        <w:suppressAutoHyphens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Межбюджетные трансферты общего характера бюджетам бюджетной системы Российской Федерации</w:t>
      </w:r>
    </w:p>
    <w:p w14:paraId="36B2F441" w14:textId="77777777" w:rsidR="00CD5A08" w:rsidRPr="00CD5A08" w:rsidRDefault="00CD5A08" w:rsidP="00CD5A08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FB07838" w14:textId="5BB15A2B" w:rsidR="00C44A95" w:rsidRPr="005A2326" w:rsidRDefault="00CD5A08" w:rsidP="005A2326">
      <w:pPr>
        <w:suppressAutoHyphens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5A08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          По подразделу 1403 "Межбюджетные трансферты"</w:t>
      </w:r>
      <w:r w:rsidRPr="00CD5A08">
        <w:rPr>
          <w:rFonts w:ascii="Times New Roman" w:eastAsia="Times New Roman" w:hAnsi="Times New Roman" w:cs="Times New Roman"/>
          <w:sz w:val="28"/>
          <w:szCs w:val="28"/>
          <w:lang w:eastAsia="ar-SA"/>
        </w:rPr>
        <w:t>, план 174,2 тысячи рублей, исполнено 174,2 тысячи рублей или 100% исполнения. Сумма по полномочиям внешнего муниципального контроля в отчетном периоде перечислена на 100%.</w:t>
      </w:r>
      <w:r>
        <w:rPr>
          <w:rFonts w:ascii="Courier New" w:eastAsia="Courier New" w:hAnsi="Courier New" w:cs="Courier New"/>
          <w:color w:val="FF0000"/>
        </w:rPr>
        <w:t> </w:t>
      </w:r>
    </w:p>
    <w:p w14:paraId="7000E2D8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V</w:t>
      </w:r>
    </w:p>
    <w:p w14:paraId="6D0B64E3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Прочие вопросы деятельности субъекта бюджетной отчетности</w:t>
      </w:r>
    </w:p>
    <w:p w14:paraId="692A525F" w14:textId="77777777" w:rsidR="00C44A95" w:rsidRDefault="00000000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14:paraId="17A6F4BC" w14:textId="77777777" w:rsidR="00C44A95" w:rsidRDefault="00000000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документами, регламентирующими деятельность Администрации муниципального образования «Дондуковское сельское поселение» являются:</w:t>
      </w:r>
    </w:p>
    <w:p w14:paraId="7B078B30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Бюджетный кодекс Российской Федерации (с изменениями и дополнениями);</w:t>
      </w:r>
    </w:p>
    <w:p w14:paraId="6B73A7CC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Гражданский кодекс Российской Федерации (с изменениями и дополнениями);</w:t>
      </w:r>
    </w:p>
    <w:p w14:paraId="4EF92496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Положение о бюджетном процессе в муниципальном образовании «Дондуковское сельское поселение», утвержденное решением Совета народных депутатов муниципального образования «Дондуковское сельское поселение» от 30 марта 2018 года № 77 (в новой редакции) ;</w:t>
      </w:r>
    </w:p>
    <w:p w14:paraId="46FD627D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Федеральный закон от 06.12.2011г. № 402-ФЗ «О бухгалтерском учете» (с изменениями и дополнениями от 5 декабря 2022г.);</w:t>
      </w:r>
    </w:p>
    <w:p w14:paraId="01B820A4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Инструкция по бухгалтерскому учету (Приказ МФ РФ № 157-н от 01.12.2010г. (с изменениями и дополнениями от 12 октября 2012 г., 29 августа 2014 г., 6 августа 2015 г., 1 марта, 16 ноября 2016 г., 27 сентября 2017 г., 31 марта, 28 декабря 2018 г., 14 сентября 2020 г.), № 162-н от 06.12.2010г.  (с изменениями и дополнениями от 24 декабря 2012 г., 17 августа, 30 ноября 2015 г., 16 ноября 2016 г., 31 октября 2017 г., 31 марта, 28 декабря 2018 г., 28 октября 2020 г.));</w:t>
      </w:r>
    </w:p>
    <w:p w14:paraId="0FC8F525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Федеральные стандарты бухучета госфинансов: приказы МФ России от 31.12.2016г. № 256н-260н, от 31.12.2017г. № 274н, 275н и 278н, от 27.02.2018г. № 32н, от 30.05.2018г. № 122н.;</w:t>
      </w:r>
    </w:p>
    <w:p w14:paraId="2B713D73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Федеральный закон от 5 апреля 2013г.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324F2751" w14:textId="77777777" w:rsidR="00C44A95" w:rsidRDefault="00000000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14:paraId="21A40D4B" w14:textId="7ABB7B2D" w:rsidR="00C44A95" w:rsidRDefault="00000000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E30DF9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</w:p>
    <w:p w14:paraId="6C5F0223" w14:textId="18BA079D" w:rsidR="00E30DF9" w:rsidRDefault="00E30DF9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«Дондуковское сельское поселение»                                             Н.Н. Бровин.</w:t>
      </w:r>
    </w:p>
    <w:p w14:paraId="5644B48A" w14:textId="77777777" w:rsidR="00E30DF9" w:rsidRDefault="00E30DF9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F60EC7" w14:textId="0C90B986" w:rsidR="00E30DF9" w:rsidRDefault="00E30DF9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Начальник финансово-</w:t>
      </w:r>
    </w:p>
    <w:p w14:paraId="1051FFAC" w14:textId="3E87031F" w:rsidR="00E30DF9" w:rsidRDefault="00E30DF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экономического отдела                                                                     А.В. Бойко.</w:t>
      </w:r>
    </w:p>
    <w:sectPr w:rsidR="00E30DF9" w:rsidSect="00EB2DE0">
      <w:pgSz w:w="12240" w:h="15840"/>
      <w:pgMar w:top="850" w:right="1133" w:bottom="1134" w:left="1133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AB44C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00"/>
      </w:rPr>
    </w:lvl>
  </w:abstractNum>
  <w:abstractNum w:abstractNumId="2" w15:restartNumberingAfterBreak="0">
    <w:nsid w:val="18689408"/>
    <w:multiLevelType w:val="hybridMultilevel"/>
    <w:tmpl w:val="2C56344A"/>
    <w:lvl w:ilvl="0" w:tplc="71667D3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6F051EE3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02A2DEA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60DF251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CAD1CBB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DFAB6DD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A6E9DA2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406E95B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6DE565F6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 w15:restartNumberingAfterBreak="0">
    <w:nsid w:val="327D0426"/>
    <w:multiLevelType w:val="hybridMultilevel"/>
    <w:tmpl w:val="6D84C16E"/>
    <w:lvl w:ilvl="0" w:tplc="1393A82F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3D02CE0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4C8F617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25A31D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C4CE24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0ECB49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2C3B4468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36D21A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34D7A37B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4" w15:restartNumberingAfterBreak="0">
    <w:nsid w:val="5B37EEE5"/>
    <w:multiLevelType w:val="hybridMultilevel"/>
    <w:tmpl w:val="9C10A216"/>
    <w:lvl w:ilvl="0" w:tplc="56698405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79E4A94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58DE0C26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CBD6467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4BB6166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6BED734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DACC6ED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1475573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B435FF4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 w16cid:durableId="1236433441">
    <w:abstractNumId w:val="3"/>
  </w:num>
  <w:num w:numId="2" w16cid:durableId="270598560">
    <w:abstractNumId w:val="2"/>
  </w:num>
  <w:num w:numId="3" w16cid:durableId="566188902">
    <w:abstractNumId w:val="4"/>
  </w:num>
  <w:num w:numId="4" w16cid:durableId="183323730">
    <w:abstractNumId w:val="0"/>
  </w:num>
  <w:num w:numId="5" w16cid:durableId="953635171">
    <w:abstractNumId w:val="1"/>
  </w:num>
  <w:num w:numId="6" w16cid:durableId="2037846626">
    <w:abstractNumId w:val="0"/>
  </w:num>
  <w:num w:numId="7" w16cid:durableId="1929540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A95"/>
    <w:rsid w:val="00053713"/>
    <w:rsid w:val="00095BB9"/>
    <w:rsid w:val="00111DDC"/>
    <w:rsid w:val="001369F6"/>
    <w:rsid w:val="001673B9"/>
    <w:rsid w:val="00193D14"/>
    <w:rsid w:val="001B771C"/>
    <w:rsid w:val="001F220B"/>
    <w:rsid w:val="00205570"/>
    <w:rsid w:val="00265D8D"/>
    <w:rsid w:val="002D4D9C"/>
    <w:rsid w:val="003021FF"/>
    <w:rsid w:val="003369DA"/>
    <w:rsid w:val="003648E3"/>
    <w:rsid w:val="00386ED2"/>
    <w:rsid w:val="003D5558"/>
    <w:rsid w:val="004D2B5A"/>
    <w:rsid w:val="005A2326"/>
    <w:rsid w:val="005A424B"/>
    <w:rsid w:val="00607893"/>
    <w:rsid w:val="00691A1C"/>
    <w:rsid w:val="006D62F7"/>
    <w:rsid w:val="00711C51"/>
    <w:rsid w:val="0074429D"/>
    <w:rsid w:val="008B2F81"/>
    <w:rsid w:val="008B799E"/>
    <w:rsid w:val="008D53F9"/>
    <w:rsid w:val="008E52AD"/>
    <w:rsid w:val="00961D2B"/>
    <w:rsid w:val="00964E14"/>
    <w:rsid w:val="009A117C"/>
    <w:rsid w:val="009D2CF8"/>
    <w:rsid w:val="00A034C0"/>
    <w:rsid w:val="00A654EA"/>
    <w:rsid w:val="00A7610F"/>
    <w:rsid w:val="00AA5EED"/>
    <w:rsid w:val="00AD26AA"/>
    <w:rsid w:val="00B01C65"/>
    <w:rsid w:val="00B94028"/>
    <w:rsid w:val="00BE7FE2"/>
    <w:rsid w:val="00C02D3F"/>
    <w:rsid w:val="00C44A95"/>
    <w:rsid w:val="00C640FE"/>
    <w:rsid w:val="00C92EE9"/>
    <w:rsid w:val="00CD5A08"/>
    <w:rsid w:val="00CD5D7F"/>
    <w:rsid w:val="00D5398B"/>
    <w:rsid w:val="00D71382"/>
    <w:rsid w:val="00E30DF9"/>
    <w:rsid w:val="00E773BF"/>
    <w:rsid w:val="00EA7D82"/>
    <w:rsid w:val="00EB2DE0"/>
    <w:rsid w:val="00EF61CE"/>
    <w:rsid w:val="00F20222"/>
    <w:rsid w:val="00F242D9"/>
    <w:rsid w:val="00F55A1B"/>
    <w:rsid w:val="00F60EFF"/>
    <w:rsid w:val="00F64BDF"/>
    <w:rsid w:val="00F6504B"/>
    <w:rsid w:val="00F93351"/>
    <w:rsid w:val="00F93798"/>
    <w:rsid w:val="00F954E9"/>
    <w:rsid w:val="00FA4C87"/>
    <w:rsid w:val="00FB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5D51"/>
  <w15:docId w15:val="{8AB00AED-F025-4BA3-9769-43804054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4328</Words>
  <Characters>24676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20</cp:revision>
  <cp:lastPrinted>2025-04-17T10:46:00Z</cp:lastPrinted>
  <dcterms:created xsi:type="dcterms:W3CDTF">2025-01-22T06:43:00Z</dcterms:created>
  <dcterms:modified xsi:type="dcterms:W3CDTF">2025-07-22T07:48:00Z</dcterms:modified>
</cp:coreProperties>
</file>